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63E" w:rsidRPr="00D3776A" w:rsidRDefault="00FF249B">
      <w:pPr>
        <w:rPr>
          <w:b/>
          <w:sz w:val="28"/>
          <w:szCs w:val="28"/>
        </w:rPr>
      </w:pPr>
      <w:proofErr w:type="spellStart"/>
      <w:r w:rsidRPr="00D3776A">
        <w:rPr>
          <w:b/>
          <w:sz w:val="28"/>
          <w:szCs w:val="28"/>
        </w:rPr>
        <w:t>Smartwire</w:t>
      </w:r>
      <w:proofErr w:type="spellEnd"/>
      <w:r w:rsidRPr="00D3776A">
        <w:rPr>
          <w:b/>
          <w:sz w:val="28"/>
          <w:szCs w:val="28"/>
        </w:rPr>
        <w:t xml:space="preserve">-DT </w:t>
      </w:r>
      <w:proofErr w:type="spellStart"/>
      <w:r w:rsidRPr="00D3776A">
        <w:rPr>
          <w:b/>
          <w:sz w:val="28"/>
          <w:szCs w:val="28"/>
        </w:rPr>
        <w:t>library</w:t>
      </w:r>
      <w:proofErr w:type="spellEnd"/>
    </w:p>
    <w:p w:rsidR="00FF249B" w:rsidRDefault="00FF249B" w:rsidP="00914235">
      <w:pPr>
        <w:spacing w:after="0"/>
        <w:rPr>
          <w:noProof/>
          <w:lang w:eastAsia="de-DE"/>
        </w:rPr>
      </w:pPr>
      <w:r w:rsidRPr="00FF249B">
        <w:rPr>
          <w:noProof/>
          <w:lang w:eastAsia="de-DE"/>
        </w:rPr>
        <w:t>In der Library sind Bausteine für PKE</w:t>
      </w:r>
      <w:r>
        <w:rPr>
          <w:noProof/>
          <w:lang w:eastAsia="de-DE"/>
        </w:rPr>
        <w:t>-</w:t>
      </w:r>
      <w:r w:rsidR="00C1167A">
        <w:rPr>
          <w:noProof/>
          <w:lang w:eastAsia="de-DE"/>
        </w:rPr>
        <w:t>, NZM –</w:t>
      </w:r>
      <w:r w:rsidR="00B268FB">
        <w:rPr>
          <w:noProof/>
          <w:lang w:eastAsia="de-DE"/>
        </w:rPr>
        <w:t>, DX-NET</w:t>
      </w:r>
      <w:r w:rsidR="00C1167A">
        <w:rPr>
          <w:noProof/>
          <w:lang w:eastAsia="de-DE"/>
        </w:rPr>
        <w:t xml:space="preserve"> und DS7</w:t>
      </w:r>
      <w:r>
        <w:rPr>
          <w:noProof/>
          <w:lang w:eastAsia="de-DE"/>
        </w:rPr>
        <w:t>-Smartwire-DT-Teilnehmer enthalten. Folgende Profile sind vorhanden:</w:t>
      </w:r>
    </w:p>
    <w:p w:rsidR="00FF249B" w:rsidRDefault="00FF249B" w:rsidP="00914235">
      <w:pPr>
        <w:spacing w:after="0"/>
        <w:rPr>
          <w:noProof/>
          <w:lang w:eastAsia="de-DE"/>
        </w:rPr>
      </w:pPr>
      <w:r>
        <w:rPr>
          <w:noProof/>
          <w:lang w:eastAsia="de-DE"/>
        </w:rPr>
        <w:t>PKE: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 1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 2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 3</w:t>
      </w:r>
    </w:p>
    <w:p w:rsidR="00FF249B" w:rsidRDefault="00FF249B" w:rsidP="00914235">
      <w:pPr>
        <w:spacing w:after="0"/>
        <w:rPr>
          <w:noProof/>
          <w:lang w:eastAsia="de-DE"/>
        </w:rPr>
      </w:pPr>
      <w:r>
        <w:rPr>
          <w:noProof/>
          <w:lang w:eastAsia="de-DE"/>
        </w:rPr>
        <w:t>NZM: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 1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 3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(die Profile 2 und 4 werden in einer späteren Version folgen)</w:t>
      </w:r>
    </w:p>
    <w:p w:rsidR="00C1167A" w:rsidRDefault="00C1167A" w:rsidP="00C1167A">
      <w:pPr>
        <w:spacing w:after="0"/>
        <w:rPr>
          <w:noProof/>
          <w:lang w:val="en-US" w:eastAsia="de-DE"/>
        </w:rPr>
      </w:pPr>
      <w:r>
        <w:rPr>
          <w:noProof/>
          <w:lang w:val="en-US" w:eastAsia="de-DE"/>
        </w:rPr>
        <w:t>DS7</w:t>
      </w:r>
    </w:p>
    <w:p w:rsidR="00C1167A" w:rsidRDefault="00C1167A" w:rsidP="00C1167A">
      <w:pPr>
        <w:pStyle w:val="Listenabsatz"/>
        <w:numPr>
          <w:ilvl w:val="0"/>
          <w:numId w:val="2"/>
        </w:numPr>
        <w:spacing w:after="0"/>
        <w:rPr>
          <w:noProof/>
          <w:lang w:val="en-US" w:eastAsia="de-DE"/>
        </w:rPr>
      </w:pPr>
      <w:r>
        <w:rPr>
          <w:noProof/>
          <w:lang w:val="en-US" w:eastAsia="de-DE"/>
        </w:rPr>
        <w:t>Profile 1 bis 11</w:t>
      </w:r>
    </w:p>
    <w:p w:rsidR="00B268FB" w:rsidRDefault="00B268FB" w:rsidP="00B268FB">
      <w:pPr>
        <w:spacing w:after="0"/>
        <w:rPr>
          <w:noProof/>
          <w:lang w:val="en-US" w:eastAsia="de-DE"/>
        </w:rPr>
      </w:pPr>
      <w:r>
        <w:rPr>
          <w:noProof/>
          <w:lang w:val="en-US" w:eastAsia="de-DE"/>
        </w:rPr>
        <w:t>DX-NET</w:t>
      </w:r>
    </w:p>
    <w:p w:rsidR="00B268FB" w:rsidRDefault="00B268FB" w:rsidP="00B268FB">
      <w:pPr>
        <w:pStyle w:val="Listenabsatz"/>
        <w:numPr>
          <w:ilvl w:val="0"/>
          <w:numId w:val="2"/>
        </w:numPr>
        <w:spacing w:after="0"/>
        <w:rPr>
          <w:noProof/>
          <w:lang w:val="en-US" w:eastAsia="de-DE"/>
        </w:rPr>
      </w:pPr>
      <w:r>
        <w:rPr>
          <w:noProof/>
          <w:lang w:val="en-US" w:eastAsia="de-DE"/>
        </w:rPr>
        <w:t>Profile 1 bis 2</w:t>
      </w:r>
    </w:p>
    <w:p w:rsidR="00FF249B" w:rsidRDefault="00FF249B" w:rsidP="00FF249B">
      <w:pPr>
        <w:rPr>
          <w:noProof/>
          <w:lang w:eastAsia="de-DE"/>
        </w:rPr>
      </w:pPr>
      <w:r>
        <w:rPr>
          <w:noProof/>
          <w:lang w:eastAsia="de-DE"/>
        </w:rPr>
        <w:t>Zu jeder Bausteinvariante gibt es eine Vollversionen und eine reduzierte Version (M</w:t>
      </w:r>
      <w:r w:rsidR="008122E3">
        <w:rPr>
          <w:noProof/>
          <w:lang w:eastAsia="de-DE"/>
        </w:rPr>
        <w:t>inimum). In der</w:t>
      </w:r>
      <w:r>
        <w:rPr>
          <w:noProof/>
          <w:lang w:eastAsia="de-DE"/>
        </w:rPr>
        <w:t xml:space="preserve"> Vollversion gibt </w:t>
      </w:r>
      <w:r w:rsidR="008122E3">
        <w:rPr>
          <w:noProof/>
          <w:lang w:eastAsia="de-DE"/>
        </w:rPr>
        <w:t>es die Ausgangsinformat</w:t>
      </w:r>
      <w:r w:rsidR="009400C3">
        <w:rPr>
          <w:noProof/>
          <w:lang w:eastAsia="de-DE"/>
        </w:rPr>
        <w:t xml:space="preserve">ionen des Bausteins als String (Text)-, BOOL (Bit)- und USINT-Variablen. Bei den reduzierten Versionen (Minimum im Namen) fehlen die BOOL- und USINT-Variablen, wodurch </w:t>
      </w:r>
      <w:r w:rsidR="00914235">
        <w:rPr>
          <w:noProof/>
          <w:lang w:eastAsia="de-DE"/>
        </w:rPr>
        <w:t>der Ausgangsbereich der Bausteine deutlich kleiner und überschaubarer wird.</w:t>
      </w:r>
    </w:p>
    <w:p w:rsidR="00FF249B" w:rsidRDefault="00FF249B">
      <w:r>
        <w:rPr>
          <w:noProof/>
          <w:lang w:eastAsia="de-DE"/>
        </w:rPr>
        <w:drawing>
          <wp:inline distT="0" distB="0" distL="0" distR="0" wp14:anchorId="6C69D96D" wp14:editId="0F6DFD59">
            <wp:extent cx="5759116" cy="1860884"/>
            <wp:effectExtent l="0" t="0" r="0" b="635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b="42558"/>
                    <a:stretch/>
                  </pic:blipFill>
                  <pic:spPr bwMode="auto">
                    <a:xfrm>
                      <a:off x="0" y="0"/>
                      <a:ext cx="5760720" cy="18614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4235" w:rsidRDefault="00914235">
      <w:r>
        <w:t>Zu jedem Funktionsbaustein gibt es eine Visualisierung, die auf einfache Weise mit dem Funktionsbaustein verknüpft werden kann.</w:t>
      </w:r>
    </w:p>
    <w:p w:rsidR="00FF249B" w:rsidRDefault="00FF249B">
      <w:bookmarkStart w:id="0" w:name="_GoBack"/>
      <w:r>
        <w:rPr>
          <w:noProof/>
          <w:lang w:eastAsia="de-DE"/>
        </w:rPr>
        <w:drawing>
          <wp:inline distT="0" distB="0" distL="0" distR="0" wp14:anchorId="1D49231F" wp14:editId="0AC11427">
            <wp:extent cx="5573355" cy="3135086"/>
            <wp:effectExtent l="0" t="0" r="8890" b="825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3355" cy="313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14235" w:rsidRDefault="00914235"/>
    <w:p w:rsidR="00914235" w:rsidRDefault="00213E72">
      <w:r>
        <w:t xml:space="preserve">Die Inputbytes </w:t>
      </w:r>
      <w:r w:rsidR="00914235">
        <w:t xml:space="preserve">der </w:t>
      </w:r>
      <w:proofErr w:type="spellStart"/>
      <w:r w:rsidR="00914235">
        <w:t>Smartwire</w:t>
      </w:r>
      <w:proofErr w:type="spellEnd"/>
      <w:r w:rsidR="00914235">
        <w:t>-DT-Profile</w:t>
      </w:r>
      <w:r w:rsidR="00D3776A">
        <w:t xml:space="preserve"> (IB0, IB1, usw.)</w:t>
      </w:r>
      <w:r w:rsidR="00914235">
        <w:t xml:space="preserve"> müssen mit </w:t>
      </w:r>
      <w:r w:rsidR="00475153">
        <w:t>den entsprechenden Variablen des</w:t>
      </w:r>
      <w:r w:rsidR="00914235">
        <w:t xml:space="preserve"> Funktionsbausteine</w:t>
      </w:r>
      <w:r w:rsidR="00475153">
        <w:t>s</w:t>
      </w:r>
      <w:r w:rsidR="00914235">
        <w:t xml:space="preserve"> verbunden werden.</w:t>
      </w:r>
      <w:r w:rsidR="00475153">
        <w:t xml:space="preserve"> Der Bausteine </w:t>
      </w:r>
      <w:proofErr w:type="gramStart"/>
      <w:r w:rsidR="00475153">
        <w:t>liefert</w:t>
      </w:r>
      <w:proofErr w:type="gramEnd"/>
      <w:r>
        <w:t xml:space="preserve"> dann im Ausgangsbereich die Informationen, welche in den </w:t>
      </w:r>
      <w:proofErr w:type="spellStart"/>
      <w:r>
        <w:t>Smarwire</w:t>
      </w:r>
      <w:proofErr w:type="spellEnd"/>
      <w:r>
        <w:t xml:space="preserve">-DT-Inputbytes enthalten </w:t>
      </w:r>
      <w:r w:rsidR="00475153">
        <w:t>sind</w:t>
      </w:r>
      <w:r>
        <w:t xml:space="preserve">. Durch Verknüpfung </w:t>
      </w:r>
      <w:r w:rsidR="00475153">
        <w:t xml:space="preserve">des </w:t>
      </w:r>
      <w:proofErr w:type="spellStart"/>
      <w:r w:rsidR="00475153">
        <w:t>Smartwire</w:t>
      </w:r>
      <w:proofErr w:type="spellEnd"/>
      <w:r w:rsidR="00475153">
        <w:t>-DT-Ausgangsbytes</w:t>
      </w:r>
      <w:r w:rsidR="00D3776A">
        <w:t xml:space="preserve"> (QB0)</w:t>
      </w:r>
      <w:r w:rsidR="00475153">
        <w:t xml:space="preserve"> mit dem Baustein werden die Kommandobits des Bausteins umgesetzt, z. B. „Schütz einschalten“ oder „ZMR Funktion aktivieren“.</w:t>
      </w:r>
    </w:p>
    <w:p w:rsidR="00914235" w:rsidRDefault="00914235">
      <w:r>
        <w:rPr>
          <w:noProof/>
          <w:lang w:eastAsia="de-DE"/>
        </w:rPr>
        <w:drawing>
          <wp:inline distT="0" distB="0" distL="0" distR="0" wp14:anchorId="78A0E3AF" wp14:editId="39A593BC">
            <wp:extent cx="5972810" cy="3359785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153" w:rsidRDefault="003D3AC7">
      <w:r>
        <w:t xml:space="preserve">Auf einer </w:t>
      </w:r>
      <w:proofErr w:type="spellStart"/>
      <w:r>
        <w:t>CoDeSys</w:t>
      </w:r>
      <w:proofErr w:type="spellEnd"/>
      <w:r>
        <w:t>-Visualisierungsseite (nicht Galileo) kann das Visualisierungselement ausgewählt werden und mit der passenden Visualisierungsseite aus der Library verknüpft werden, z. B. mit „SWD_PKE_Profil2_d“. Anschließend muss unter „Platzhalter“ noch die Bausteininstanz verknüpft werden (durch Betätigung von F2), welche visualisiert werden soll, z.B. die Instanz „PKE_Profil2_d“ aus dem Programm „</w:t>
      </w:r>
      <w:proofErr w:type="spellStart"/>
      <w:r>
        <w:t>PKE_PRG_d</w:t>
      </w:r>
      <w:proofErr w:type="spellEnd"/>
      <w:r>
        <w:t xml:space="preserve">“. Bedienung und Ansicht des Bausteins können dann über dieses Visualisierungselement erfolgen (s. Beispielprojekt). </w:t>
      </w:r>
    </w:p>
    <w:p w:rsidR="00475153" w:rsidRDefault="00475153">
      <w:r>
        <w:rPr>
          <w:noProof/>
          <w:lang w:eastAsia="de-DE"/>
        </w:rPr>
        <w:drawing>
          <wp:inline distT="0" distB="0" distL="0" distR="0" wp14:anchorId="68A6D892" wp14:editId="4CE00C1E">
            <wp:extent cx="5972810" cy="3359785"/>
            <wp:effectExtent l="0" t="0" r="889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AC7" w:rsidRDefault="003D3AC7">
      <w:r>
        <w:lastRenderedPageBreak/>
        <w:t xml:space="preserve">In den Beispielprojekten werden die </w:t>
      </w:r>
      <w:proofErr w:type="spellStart"/>
      <w:r>
        <w:t>Smartwire</w:t>
      </w:r>
      <w:proofErr w:type="spellEnd"/>
      <w:r>
        <w:t>-DT-Inputbytes simuliert und ständig verändert, so dass sich die entsprechenden Bausteinausgänge (</w:t>
      </w:r>
      <w:proofErr w:type="spellStart"/>
      <w:r>
        <w:t>Smartwire</w:t>
      </w:r>
      <w:proofErr w:type="spellEnd"/>
      <w:r>
        <w:t>-DT-Informat</w:t>
      </w:r>
      <w:r w:rsidR="00ED61CE">
        <w:t>ionen) ebenfalls ständig ändern, um die Wirkweise der Bausteine zu veranschaulichen.</w:t>
      </w:r>
    </w:p>
    <w:sectPr w:rsidR="003D3AC7" w:rsidSect="009142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01BB"/>
    <w:multiLevelType w:val="hybridMultilevel"/>
    <w:tmpl w:val="B50AC426"/>
    <w:lvl w:ilvl="0" w:tplc="7ED400A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49B"/>
    <w:rsid w:val="000629C2"/>
    <w:rsid w:val="001B2ED2"/>
    <w:rsid w:val="001E7958"/>
    <w:rsid w:val="00213E72"/>
    <w:rsid w:val="003D3AC7"/>
    <w:rsid w:val="00475153"/>
    <w:rsid w:val="008122E3"/>
    <w:rsid w:val="00914235"/>
    <w:rsid w:val="009400C3"/>
    <w:rsid w:val="00B04C12"/>
    <w:rsid w:val="00B24219"/>
    <w:rsid w:val="00B268FB"/>
    <w:rsid w:val="00B7218E"/>
    <w:rsid w:val="00B905FE"/>
    <w:rsid w:val="00BC75AB"/>
    <w:rsid w:val="00C1167A"/>
    <w:rsid w:val="00C81D2E"/>
    <w:rsid w:val="00D16000"/>
    <w:rsid w:val="00D3776A"/>
    <w:rsid w:val="00ED61CE"/>
    <w:rsid w:val="00FF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249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F24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249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F2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5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Eaton Corp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Tenhagen, Rainer</dc:creator>
  <cp:lastModifiedBy>Tenhagen, Rainer</cp:lastModifiedBy>
  <cp:revision>7</cp:revision>
  <cp:lastPrinted>2012-05-14T09:47:00Z</cp:lastPrinted>
  <dcterms:created xsi:type="dcterms:W3CDTF">2012-05-14T09:56:00Z</dcterms:created>
  <dcterms:modified xsi:type="dcterms:W3CDTF">2014-06-27T08:27:00Z</dcterms:modified>
</cp:coreProperties>
</file>